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0F" w:rsidRDefault="002D660F" w:rsidP="00F75F2D">
      <w:pPr>
        <w:rPr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4121" w:rsidRPr="00DB4121" w:rsidTr="00DB4121">
        <w:tc>
          <w:tcPr>
            <w:tcW w:w="9016" w:type="dxa"/>
          </w:tcPr>
          <w:p w:rsidR="00DB4121" w:rsidRPr="00DB4121" w:rsidRDefault="00DB4121" w:rsidP="0086613F">
            <w:pPr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DB4121">
              <w:rPr>
                <w:rFonts w:cstheme="minorHAnsi"/>
                <w:b/>
                <w:color w:val="000000" w:themeColor="text1"/>
                <w:sz w:val="28"/>
                <w:szCs w:val="28"/>
              </w:rPr>
              <w:t>Organisation</w:t>
            </w:r>
          </w:p>
          <w:p w:rsidR="002410D5" w:rsidRPr="002410D5" w:rsidRDefault="002410D5" w:rsidP="0086613F">
            <w:pPr>
              <w:jc w:val="both"/>
              <w:rPr>
                <w:rFonts w:cstheme="minorHAnsi"/>
                <w:color w:val="000000" w:themeColor="text1"/>
              </w:rPr>
            </w:pPr>
            <w:r w:rsidRPr="002410D5">
              <w:rPr>
                <w:rFonts w:cstheme="minorHAnsi"/>
                <w:color w:val="000000" w:themeColor="text1"/>
              </w:rPr>
              <w:t>Mid Yorkshire</w:t>
            </w:r>
            <w:r>
              <w:rPr>
                <w:rFonts w:cstheme="minorHAnsi"/>
                <w:color w:val="000000" w:themeColor="text1"/>
              </w:rPr>
              <w:t xml:space="preserve"> Teaching NHS Trust</w:t>
            </w:r>
          </w:p>
          <w:p w:rsidR="00DB4121" w:rsidRDefault="00DB4121" w:rsidP="0086613F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:rsidR="00DB4121" w:rsidRPr="00DB4121" w:rsidRDefault="00DB4121" w:rsidP="0086613F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</w:tr>
      <w:tr w:rsidR="00DB4121" w:rsidRPr="00DB4121" w:rsidTr="00DB4121">
        <w:tc>
          <w:tcPr>
            <w:tcW w:w="9016" w:type="dxa"/>
          </w:tcPr>
          <w:p w:rsidR="00DB4121" w:rsidRPr="00DB4121" w:rsidRDefault="00DB4121" w:rsidP="0086613F">
            <w:pPr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DB4121">
              <w:rPr>
                <w:rFonts w:cstheme="minorHAnsi"/>
                <w:b/>
                <w:color w:val="000000" w:themeColor="text1"/>
                <w:sz w:val="28"/>
                <w:szCs w:val="28"/>
              </w:rPr>
              <w:t>Locations</w:t>
            </w:r>
          </w:p>
          <w:p w:rsidR="00DB4121" w:rsidRPr="002410D5" w:rsidRDefault="002410D5" w:rsidP="0086613F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Pinderfields Hospital in Wakefield, Dewsbury &amp; District Hospital and Pontefract Hospital</w:t>
            </w:r>
          </w:p>
          <w:p w:rsidR="00DB4121" w:rsidRDefault="00DB4121" w:rsidP="0086613F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:rsidR="00DB4121" w:rsidRPr="00DB4121" w:rsidRDefault="00DB4121" w:rsidP="0086613F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</w:tr>
      <w:tr w:rsidR="00DB4121" w:rsidRPr="00DB4121" w:rsidTr="00DB4121">
        <w:tc>
          <w:tcPr>
            <w:tcW w:w="9016" w:type="dxa"/>
          </w:tcPr>
          <w:p w:rsidR="00DB4121" w:rsidRDefault="00DB4121" w:rsidP="0086613F">
            <w:pPr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DB4121">
              <w:rPr>
                <w:rFonts w:cstheme="minorHAnsi"/>
                <w:b/>
                <w:color w:val="000000" w:themeColor="text1"/>
                <w:sz w:val="28"/>
                <w:szCs w:val="28"/>
              </w:rPr>
              <w:t>Line Manager</w:t>
            </w:r>
          </w:p>
          <w:p w:rsidR="00DB4121" w:rsidRDefault="002410D5" w:rsidP="0086613F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Estates Manager</w:t>
            </w:r>
          </w:p>
          <w:p w:rsidR="002410D5" w:rsidRPr="002410D5" w:rsidRDefault="002410D5" w:rsidP="0086613F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DB4121" w:rsidRPr="00DB4121" w:rsidTr="00DB4121">
        <w:tc>
          <w:tcPr>
            <w:tcW w:w="9016" w:type="dxa"/>
          </w:tcPr>
          <w:p w:rsidR="00DB4121" w:rsidRPr="00DB4121" w:rsidRDefault="00DB4121" w:rsidP="0086613F">
            <w:pPr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DB4121">
              <w:rPr>
                <w:rFonts w:cstheme="minorHAnsi"/>
                <w:b/>
                <w:color w:val="000000" w:themeColor="text1"/>
                <w:sz w:val="28"/>
                <w:szCs w:val="28"/>
              </w:rPr>
              <w:t>Organisation and Role Description</w:t>
            </w:r>
          </w:p>
          <w:p w:rsidR="002410D5" w:rsidRPr="00FF1E08" w:rsidRDefault="002410D5" w:rsidP="002410D5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en-GB"/>
              </w:rPr>
            </w:pPr>
            <w:r w:rsidRPr="00FF1E08">
              <w:rPr>
                <w:rFonts w:eastAsia="Times New Roman" w:cstheme="minorHAnsi"/>
                <w:b/>
                <w:lang w:eastAsia="en-GB"/>
              </w:rPr>
              <w:t>Organisation Description</w:t>
            </w:r>
          </w:p>
          <w:p w:rsidR="002410D5" w:rsidRPr="002410D5" w:rsidRDefault="002410D5" w:rsidP="002410D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2410D5">
              <w:rPr>
                <w:rFonts w:eastAsia="Times New Roman" w:cstheme="minorHAnsi"/>
                <w:lang w:eastAsia="en-GB"/>
              </w:rPr>
              <w:t>Mid Yorkshire Teaching NHS Trust (MYTT) is a dynamic and forward-thinking healthcare provider, serving a diverse population of over 500,000 people across West Yorkshire. The Trust ope</w:t>
            </w:r>
            <w:r w:rsidRPr="00FF1E08">
              <w:rPr>
                <w:rFonts w:eastAsia="Times New Roman" w:cstheme="minorHAnsi"/>
                <w:lang w:eastAsia="en-GB"/>
              </w:rPr>
              <w:t xml:space="preserve">rates three main hospital sites, </w:t>
            </w:r>
            <w:r w:rsidRPr="00FF1E08">
              <w:rPr>
                <w:rFonts w:eastAsia="Times New Roman" w:cstheme="minorHAnsi"/>
                <w:bCs/>
                <w:lang w:eastAsia="en-GB"/>
              </w:rPr>
              <w:t>Pinderfields Hospital</w:t>
            </w:r>
            <w:r w:rsidRPr="002410D5">
              <w:rPr>
                <w:rFonts w:eastAsia="Times New Roman" w:cstheme="minorHAnsi"/>
                <w:lang w:eastAsia="en-GB"/>
              </w:rPr>
              <w:t xml:space="preserve"> in Wakefield, </w:t>
            </w:r>
            <w:r w:rsidRPr="00FF1E08">
              <w:rPr>
                <w:rFonts w:eastAsia="Times New Roman" w:cstheme="minorHAnsi"/>
                <w:bCs/>
                <w:lang w:eastAsia="en-GB"/>
              </w:rPr>
              <w:t>Dewsbury and District Hospital</w:t>
            </w:r>
            <w:r w:rsidRPr="002410D5">
              <w:rPr>
                <w:rFonts w:eastAsia="Times New Roman" w:cstheme="minorHAnsi"/>
                <w:lang w:eastAsia="en-GB"/>
              </w:rPr>
              <w:t xml:space="preserve">, and </w:t>
            </w:r>
            <w:r w:rsidRPr="00FF1E08">
              <w:rPr>
                <w:rFonts w:eastAsia="Times New Roman" w:cstheme="minorHAnsi"/>
                <w:bCs/>
                <w:lang w:eastAsia="en-GB"/>
              </w:rPr>
              <w:t>Pontefract Hospital</w:t>
            </w:r>
            <w:r w:rsidRPr="00FF1E08">
              <w:rPr>
                <w:rFonts w:eastAsia="Times New Roman" w:cstheme="minorHAnsi"/>
                <w:lang w:eastAsia="en-GB"/>
              </w:rPr>
              <w:t xml:space="preserve">, </w:t>
            </w:r>
            <w:r w:rsidRPr="002410D5">
              <w:rPr>
                <w:rFonts w:eastAsia="Times New Roman" w:cstheme="minorHAnsi"/>
                <w:lang w:eastAsia="en-GB"/>
              </w:rPr>
              <w:t>in addition to delivering vital community healthcare services.</w:t>
            </w:r>
          </w:p>
          <w:p w:rsidR="002410D5" w:rsidRPr="002410D5" w:rsidRDefault="002410D5" w:rsidP="002410D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2410D5">
              <w:rPr>
                <w:rFonts w:eastAsia="Times New Roman" w:cstheme="minorHAnsi"/>
                <w:lang w:eastAsia="en-GB"/>
              </w:rPr>
              <w:t xml:space="preserve">Our mission is to deliver </w:t>
            </w:r>
            <w:r w:rsidRPr="00FF1E08">
              <w:rPr>
                <w:rFonts w:eastAsia="Times New Roman" w:cstheme="minorHAnsi"/>
                <w:bCs/>
                <w:lang w:eastAsia="en-GB"/>
              </w:rPr>
              <w:t>high-quality care to every patient, every time</w:t>
            </w:r>
            <w:r w:rsidRPr="002410D5">
              <w:rPr>
                <w:rFonts w:eastAsia="Times New Roman" w:cstheme="minorHAnsi"/>
                <w:lang w:eastAsia="en-GB"/>
              </w:rPr>
              <w:t>, through a dedicated workforce that shares a commitment to innovation, collaboration, and excellence. The Trust provides a wide range of services, including acute inpatient care, specialist surgery, rehabilitation, and outpatient treatments, alongside a comprehensive suite of community</w:t>
            </w:r>
            <w:r w:rsidR="00D07537">
              <w:rPr>
                <w:rFonts w:eastAsia="Times New Roman" w:cstheme="minorHAnsi"/>
                <w:lang w:eastAsia="en-GB"/>
              </w:rPr>
              <w:t xml:space="preserve"> </w:t>
            </w:r>
            <w:r w:rsidRPr="002410D5">
              <w:rPr>
                <w:rFonts w:eastAsia="Times New Roman" w:cstheme="minorHAnsi"/>
                <w:lang w:eastAsia="en-GB"/>
              </w:rPr>
              <w:t>based health initiatives.</w:t>
            </w:r>
          </w:p>
          <w:p w:rsidR="002410D5" w:rsidRPr="002410D5" w:rsidRDefault="002410D5" w:rsidP="002410D5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lang w:eastAsia="en-GB"/>
              </w:rPr>
            </w:pPr>
            <w:r w:rsidRPr="00FF1E08">
              <w:rPr>
                <w:rFonts w:eastAsia="Times New Roman" w:cstheme="minorHAnsi"/>
                <w:b/>
                <w:bCs/>
                <w:lang w:eastAsia="en-GB"/>
              </w:rPr>
              <w:t>Our Vision and Values</w:t>
            </w:r>
          </w:p>
          <w:p w:rsidR="002410D5" w:rsidRPr="002410D5" w:rsidRDefault="002410D5" w:rsidP="002410D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2410D5">
              <w:rPr>
                <w:rFonts w:eastAsia="Times New Roman" w:cstheme="minorHAnsi"/>
                <w:lang w:eastAsia="en-GB"/>
              </w:rPr>
              <w:t>At the heart of Mid Yorkshire Teaching NHS Trust is a steadfast vision: to be a leader in providing excellent patient care and to support the health and well-being of our community. This vision is underpinned by our core values:</w:t>
            </w:r>
          </w:p>
          <w:p w:rsidR="002410D5" w:rsidRPr="002410D5" w:rsidRDefault="002410D5" w:rsidP="002410D5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FF1E08">
              <w:rPr>
                <w:rFonts w:eastAsia="Times New Roman" w:cstheme="minorHAnsi"/>
                <w:b/>
                <w:bCs/>
                <w:lang w:eastAsia="en-GB"/>
              </w:rPr>
              <w:t>Caring</w:t>
            </w:r>
            <w:r w:rsidRPr="002410D5">
              <w:rPr>
                <w:rFonts w:eastAsia="Times New Roman" w:cstheme="minorHAnsi"/>
                <w:lang w:eastAsia="en-GB"/>
              </w:rPr>
              <w:t xml:space="preserve">: Putting patients at the </w:t>
            </w:r>
            <w:r w:rsidR="00D07537" w:rsidRPr="002410D5">
              <w:rPr>
                <w:rFonts w:eastAsia="Times New Roman" w:cstheme="minorHAnsi"/>
                <w:lang w:eastAsia="en-GB"/>
              </w:rPr>
              <w:t>centre</w:t>
            </w:r>
            <w:r w:rsidRPr="002410D5">
              <w:rPr>
                <w:rFonts w:eastAsia="Times New Roman" w:cstheme="minorHAnsi"/>
                <w:lang w:eastAsia="en-GB"/>
              </w:rPr>
              <w:t xml:space="preserve"> of everything we do and ensuring compassionate care.</w:t>
            </w:r>
          </w:p>
          <w:p w:rsidR="002410D5" w:rsidRPr="002410D5" w:rsidRDefault="002410D5" w:rsidP="002410D5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FF1E08">
              <w:rPr>
                <w:rFonts w:eastAsia="Times New Roman" w:cstheme="minorHAnsi"/>
                <w:b/>
                <w:bCs/>
                <w:lang w:eastAsia="en-GB"/>
              </w:rPr>
              <w:t>High Standards</w:t>
            </w:r>
            <w:r w:rsidRPr="002410D5">
              <w:rPr>
                <w:rFonts w:eastAsia="Times New Roman" w:cstheme="minorHAnsi"/>
                <w:lang w:eastAsia="en-GB"/>
              </w:rPr>
              <w:t>: Striving for excellence in all aspects of our service delivery.</w:t>
            </w:r>
          </w:p>
          <w:p w:rsidR="002410D5" w:rsidRPr="002410D5" w:rsidRDefault="002410D5" w:rsidP="002410D5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FF1E08">
              <w:rPr>
                <w:rFonts w:eastAsia="Times New Roman" w:cstheme="minorHAnsi"/>
                <w:b/>
                <w:bCs/>
                <w:lang w:eastAsia="en-GB"/>
              </w:rPr>
              <w:t>Improving</w:t>
            </w:r>
            <w:r w:rsidRPr="002410D5">
              <w:rPr>
                <w:rFonts w:eastAsia="Times New Roman" w:cstheme="minorHAnsi"/>
                <w:lang w:eastAsia="en-GB"/>
              </w:rPr>
              <w:t>: Fostering innovation, learning, and collaboration to enhance healthcare outcomes.</w:t>
            </w:r>
          </w:p>
          <w:p w:rsidR="002410D5" w:rsidRPr="002410D5" w:rsidRDefault="002410D5" w:rsidP="002410D5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FF1E08">
              <w:rPr>
                <w:rFonts w:eastAsia="Times New Roman" w:cstheme="minorHAnsi"/>
                <w:b/>
                <w:bCs/>
                <w:lang w:eastAsia="en-GB"/>
              </w:rPr>
              <w:t>Respect</w:t>
            </w:r>
            <w:r w:rsidR="00D07537">
              <w:rPr>
                <w:rFonts w:eastAsia="Times New Roman" w:cstheme="minorHAnsi"/>
                <w:lang w:eastAsia="en-GB"/>
              </w:rPr>
              <w:t xml:space="preserve">: Treating every individual, staff, patients, and the public </w:t>
            </w:r>
            <w:r w:rsidRPr="002410D5">
              <w:rPr>
                <w:rFonts w:eastAsia="Times New Roman" w:cstheme="minorHAnsi"/>
                <w:lang w:eastAsia="en-GB"/>
              </w:rPr>
              <w:t>with dignity and respect.</w:t>
            </w:r>
          </w:p>
          <w:p w:rsidR="002410D5" w:rsidRPr="002410D5" w:rsidRDefault="002410D5" w:rsidP="002410D5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lang w:eastAsia="en-GB"/>
              </w:rPr>
            </w:pPr>
            <w:r w:rsidRPr="00FF1E08">
              <w:rPr>
                <w:rFonts w:eastAsia="Times New Roman" w:cstheme="minorHAnsi"/>
                <w:b/>
                <w:bCs/>
                <w:lang w:eastAsia="en-GB"/>
              </w:rPr>
              <w:t>Why Join Us?</w:t>
            </w:r>
          </w:p>
          <w:p w:rsidR="002410D5" w:rsidRPr="002410D5" w:rsidRDefault="002410D5" w:rsidP="002410D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2410D5">
              <w:rPr>
                <w:rFonts w:eastAsia="Times New Roman" w:cstheme="minorHAnsi"/>
                <w:lang w:eastAsia="en-GB"/>
              </w:rPr>
              <w:t>As a teaching hospital, MYTT is proud to work in partnership with leading universities, providing outstanding trainin</w:t>
            </w:r>
            <w:r>
              <w:rPr>
                <w:rFonts w:eastAsia="Times New Roman" w:cstheme="minorHAnsi"/>
                <w:lang w:eastAsia="en-GB"/>
              </w:rPr>
              <w:t>g and development opportunities</w:t>
            </w:r>
            <w:r w:rsidRPr="002410D5">
              <w:rPr>
                <w:rFonts w:eastAsia="Times New Roman" w:cstheme="minorHAnsi"/>
                <w:lang w:eastAsia="en-GB"/>
              </w:rPr>
              <w:t xml:space="preserve"> pro</w:t>
            </w:r>
            <w:r>
              <w:rPr>
                <w:rFonts w:eastAsia="Times New Roman" w:cstheme="minorHAnsi"/>
                <w:lang w:eastAsia="en-GB"/>
              </w:rPr>
              <w:t>fessionals. Our culture emphasis</w:t>
            </w:r>
            <w:r w:rsidRPr="002410D5">
              <w:rPr>
                <w:rFonts w:eastAsia="Times New Roman" w:cstheme="minorHAnsi"/>
                <w:lang w:eastAsia="en-GB"/>
              </w:rPr>
              <w:t>es professional growth, inclusivity, and the w</w:t>
            </w:r>
            <w:r w:rsidR="00D07537">
              <w:rPr>
                <w:rFonts w:eastAsia="Times New Roman" w:cstheme="minorHAnsi"/>
                <w:lang w:eastAsia="en-GB"/>
              </w:rPr>
              <w:t>ell</w:t>
            </w:r>
            <w:r>
              <w:rPr>
                <w:rFonts w:eastAsia="Times New Roman" w:cstheme="minorHAnsi"/>
                <w:lang w:eastAsia="en-GB"/>
              </w:rPr>
              <w:t>being of our staff, recognis</w:t>
            </w:r>
            <w:r w:rsidRPr="002410D5">
              <w:rPr>
                <w:rFonts w:eastAsia="Times New Roman" w:cstheme="minorHAnsi"/>
                <w:lang w:eastAsia="en-GB"/>
              </w:rPr>
              <w:t>ing that empowered and supported employees deliver exceptional care.</w:t>
            </w:r>
          </w:p>
          <w:p w:rsidR="002410D5" w:rsidRPr="002410D5" w:rsidRDefault="002410D5" w:rsidP="002410D5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lang w:eastAsia="en-GB"/>
              </w:rPr>
            </w:pPr>
            <w:r w:rsidRPr="00FF1E08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Commitment to Innovation and Sustainability</w:t>
            </w:r>
          </w:p>
          <w:p w:rsidR="002410D5" w:rsidRPr="002410D5" w:rsidRDefault="002410D5" w:rsidP="002410D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2410D5">
              <w:rPr>
                <w:rFonts w:eastAsia="Times New Roman" w:cstheme="minorHAnsi"/>
                <w:lang w:eastAsia="en-GB"/>
              </w:rPr>
              <w:t xml:space="preserve">The Trust is committed to sustainability, embracing innovative approaches to reduce our environmental impact and ensure the long-term health of our communities. From investing in state-of-the-art medical technologies </w:t>
            </w:r>
            <w:r w:rsidR="00D07537">
              <w:rPr>
                <w:rFonts w:eastAsia="Times New Roman" w:cstheme="minorHAnsi"/>
                <w:lang w:eastAsia="en-GB"/>
              </w:rPr>
              <w:t>to designing efficient, patient centere</w:t>
            </w:r>
            <w:r w:rsidR="00D07537" w:rsidRPr="002410D5">
              <w:rPr>
                <w:rFonts w:eastAsia="Times New Roman" w:cstheme="minorHAnsi"/>
                <w:lang w:eastAsia="en-GB"/>
              </w:rPr>
              <w:t>d</w:t>
            </w:r>
            <w:r w:rsidRPr="002410D5">
              <w:rPr>
                <w:rFonts w:eastAsia="Times New Roman" w:cstheme="minorHAnsi"/>
                <w:lang w:eastAsia="en-GB"/>
              </w:rPr>
              <w:t xml:space="preserve"> facilities, we are shaping the future of healthcare.</w:t>
            </w:r>
          </w:p>
          <w:p w:rsidR="002410D5" w:rsidRPr="002410D5" w:rsidRDefault="002410D5" w:rsidP="002410D5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lang w:eastAsia="en-GB"/>
              </w:rPr>
            </w:pPr>
            <w:r w:rsidRPr="00FF1E08">
              <w:rPr>
                <w:rFonts w:eastAsia="Times New Roman" w:cstheme="minorHAnsi"/>
                <w:b/>
                <w:bCs/>
                <w:lang w:eastAsia="en-GB"/>
              </w:rPr>
              <w:t>Community</w:t>
            </w:r>
            <w:r w:rsidR="00D07537">
              <w:rPr>
                <w:rFonts w:eastAsia="Times New Roman" w:cstheme="minorHAnsi"/>
                <w:b/>
                <w:bCs/>
                <w:lang w:eastAsia="en-GB"/>
              </w:rPr>
              <w:t xml:space="preserve"> Centere</w:t>
            </w:r>
            <w:r w:rsidR="00D07537" w:rsidRPr="00FF1E08">
              <w:rPr>
                <w:rFonts w:eastAsia="Times New Roman" w:cstheme="minorHAnsi"/>
                <w:b/>
                <w:bCs/>
                <w:lang w:eastAsia="en-GB"/>
              </w:rPr>
              <w:t>d</w:t>
            </w:r>
            <w:r w:rsidRPr="00FF1E08">
              <w:rPr>
                <w:rFonts w:eastAsia="Times New Roman" w:cstheme="minorHAnsi"/>
                <w:b/>
                <w:bCs/>
                <w:lang w:eastAsia="en-GB"/>
              </w:rPr>
              <w:t xml:space="preserve"> Care</w:t>
            </w:r>
          </w:p>
          <w:p w:rsidR="002410D5" w:rsidRPr="002410D5" w:rsidRDefault="002410D5" w:rsidP="002410D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2410D5">
              <w:rPr>
                <w:rFonts w:eastAsia="Times New Roman" w:cstheme="minorHAnsi"/>
                <w:lang w:eastAsia="en-GB"/>
              </w:rPr>
              <w:t>Beyond our hospitals, MYTT is deeply integrated into the community, offering outreach programs, preventive care services, and initiatives to support mental health and chronic condition management.</w:t>
            </w:r>
          </w:p>
          <w:p w:rsidR="002410D5" w:rsidRPr="002410D5" w:rsidRDefault="002410D5" w:rsidP="002410D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2410D5">
              <w:rPr>
                <w:rFonts w:eastAsia="Times New Roman" w:cstheme="minorHAnsi"/>
                <w:lang w:eastAsia="en-GB"/>
              </w:rPr>
              <w:t>At Mid Yorkshire Teaching NHS Trust, every team member plays a vital role in creating a healthcare system that patients can rely on and be proud of</w:t>
            </w:r>
          </w:p>
          <w:p w:rsidR="002410D5" w:rsidRPr="002410D5" w:rsidRDefault="002410D5" w:rsidP="002410D5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lang w:eastAsia="en-GB"/>
              </w:rPr>
            </w:pPr>
            <w:r w:rsidRPr="00FF1E08">
              <w:rPr>
                <w:rFonts w:eastAsia="Times New Roman" w:cstheme="minorHAnsi"/>
                <w:b/>
                <w:bCs/>
                <w:lang w:eastAsia="en-GB"/>
              </w:rPr>
              <w:t>What You’ll Do</w:t>
            </w:r>
          </w:p>
          <w:p w:rsidR="002410D5" w:rsidRPr="002410D5" w:rsidRDefault="002410D5" w:rsidP="002410D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2410D5">
              <w:rPr>
                <w:rFonts w:eastAsia="Times New Roman" w:cstheme="minorHAnsi"/>
                <w:lang w:eastAsia="en-GB"/>
              </w:rPr>
              <w:t xml:space="preserve">As a Graduate Estates Officer, you will play a pivotal role in the management and development of our hospital estate, supporting the delivery of outstanding patient care. You will </w:t>
            </w:r>
            <w:r>
              <w:rPr>
                <w:rFonts w:eastAsia="Times New Roman" w:cstheme="minorHAnsi"/>
                <w:lang w:eastAsia="en-GB"/>
              </w:rPr>
              <w:t xml:space="preserve">be part of the Division of Infrastructure compromising of Estates Management (includes the retained estate, PFI and sustainability), </w:t>
            </w:r>
            <w:r w:rsidRPr="002410D5">
              <w:rPr>
                <w:rFonts w:eastAsia="Times New Roman" w:cstheme="minorHAnsi"/>
                <w:lang w:eastAsia="en-GB"/>
              </w:rPr>
              <w:t>Facilities</w:t>
            </w:r>
            <w:r>
              <w:rPr>
                <w:rFonts w:eastAsia="Times New Roman" w:cstheme="minorHAnsi"/>
                <w:lang w:eastAsia="en-GB"/>
              </w:rPr>
              <w:t xml:space="preserve"> Management and Medical Physics. You will be working within the Estates Department </w:t>
            </w:r>
            <w:r w:rsidRPr="002410D5">
              <w:rPr>
                <w:rFonts w:eastAsia="Times New Roman" w:cstheme="minorHAnsi"/>
                <w:lang w:eastAsia="en-GB"/>
              </w:rPr>
              <w:t>gaining hands-on experience and exposure to diverse projects that enhance the efficiency and functionality of our facilities.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>
              <w:t>This is a structured training programs to develop skills in these areas supported by a mentor, preparing candidates for more senior positions within the estates management team.</w:t>
            </w:r>
          </w:p>
          <w:p w:rsidR="002410D5" w:rsidRPr="002410D5" w:rsidRDefault="002410D5" w:rsidP="002410D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2410D5">
              <w:rPr>
                <w:rFonts w:eastAsia="Times New Roman" w:cstheme="minorHAnsi"/>
                <w:lang w:eastAsia="en-GB"/>
              </w:rPr>
              <w:t>Key responsibilities include:</w:t>
            </w:r>
          </w:p>
          <w:p w:rsidR="002410D5" w:rsidRPr="002410D5" w:rsidRDefault="002410D5" w:rsidP="002410D5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2410D5">
              <w:rPr>
                <w:rFonts w:eastAsia="Times New Roman" w:cstheme="minorHAnsi"/>
                <w:lang w:eastAsia="en-GB"/>
              </w:rPr>
              <w:t>Assisting with the planning, management, and delivery of maintenance and capital projects.</w:t>
            </w:r>
          </w:p>
          <w:p w:rsidR="002410D5" w:rsidRPr="002410D5" w:rsidRDefault="002410D5" w:rsidP="002410D5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2410D5">
              <w:rPr>
                <w:rFonts w:eastAsia="Times New Roman" w:cstheme="minorHAnsi"/>
                <w:lang w:eastAsia="en-GB"/>
              </w:rPr>
              <w:t>Ensuring compliance with health and safety regulations and NHS guidelines.</w:t>
            </w:r>
          </w:p>
          <w:p w:rsidR="002410D5" w:rsidRPr="002410D5" w:rsidRDefault="002410D5" w:rsidP="002410D5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2410D5">
              <w:rPr>
                <w:rFonts w:eastAsia="Times New Roman" w:cstheme="minorHAnsi"/>
                <w:lang w:eastAsia="en-GB"/>
              </w:rPr>
              <w:t>Supporting sustainability initiatives to reduce the Trust’s environmental impact.</w:t>
            </w:r>
          </w:p>
          <w:p w:rsidR="002410D5" w:rsidRPr="002410D5" w:rsidRDefault="002410D5" w:rsidP="002410D5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2410D5">
              <w:rPr>
                <w:rFonts w:eastAsia="Times New Roman" w:cstheme="minorHAnsi"/>
                <w:lang w:eastAsia="en-GB"/>
              </w:rPr>
              <w:t>Collaborating with clinical and non-clinical teams to ensure facilities meet the needs of patients and staff.</w:t>
            </w:r>
          </w:p>
          <w:p w:rsidR="002410D5" w:rsidRPr="002410D5" w:rsidRDefault="002410D5" w:rsidP="002410D5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2410D5">
              <w:rPr>
                <w:rFonts w:eastAsia="Times New Roman" w:cstheme="minorHAnsi"/>
                <w:lang w:eastAsia="en-GB"/>
              </w:rPr>
              <w:t>Managing budgets, contracts,</w:t>
            </w:r>
            <w:r w:rsidR="00D07537">
              <w:rPr>
                <w:rFonts w:eastAsia="Times New Roman" w:cstheme="minorHAnsi"/>
                <w:lang w:eastAsia="en-GB"/>
              </w:rPr>
              <w:t xml:space="preserve"> and suppliers to deliver value for </w:t>
            </w:r>
            <w:r w:rsidRPr="002410D5">
              <w:rPr>
                <w:rFonts w:eastAsia="Times New Roman" w:cstheme="minorHAnsi"/>
                <w:lang w:eastAsia="en-GB"/>
              </w:rPr>
              <w:t>money services.</w:t>
            </w:r>
          </w:p>
          <w:p w:rsidR="00DB4121" w:rsidRPr="002410D5" w:rsidRDefault="002410D5" w:rsidP="002410D5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2410D5">
              <w:rPr>
                <w:rFonts w:eastAsia="Times New Roman" w:cstheme="minorHAnsi"/>
                <w:lang w:eastAsia="en-GB"/>
              </w:rPr>
              <w:t>Contributing to the Trust’s long-term estates strategy, shaping the future of our facilities.</w:t>
            </w:r>
          </w:p>
          <w:p w:rsidR="00DB4121" w:rsidRDefault="00DB4121" w:rsidP="0086613F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:rsidR="00DB4121" w:rsidRDefault="00DB4121" w:rsidP="0086613F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:rsidR="00DB4121" w:rsidRDefault="00DB4121" w:rsidP="0086613F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:rsidR="00DB4121" w:rsidRPr="00DB4121" w:rsidRDefault="00DB4121" w:rsidP="0086613F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</w:tr>
    </w:tbl>
    <w:p w:rsidR="00E00D9E" w:rsidRDefault="00E00D9E" w:rsidP="001D02F1">
      <w:pPr>
        <w:spacing w:after="0" w:line="240" w:lineRule="auto"/>
        <w:jc w:val="both"/>
        <w:rPr>
          <w:sz w:val="24"/>
          <w:szCs w:val="24"/>
        </w:rPr>
      </w:pPr>
    </w:p>
    <w:sectPr w:rsidR="00E00D9E" w:rsidSect="00DB4121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06A" w:rsidRDefault="00BF106A" w:rsidP="00BF106A">
      <w:pPr>
        <w:spacing w:after="0" w:line="240" w:lineRule="auto"/>
      </w:pPr>
      <w:r>
        <w:separator/>
      </w:r>
    </w:p>
  </w:endnote>
  <w:endnote w:type="continuationSeparator" w:id="0">
    <w:p w:rsidR="00BF106A" w:rsidRDefault="00BF106A" w:rsidP="00BF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06A" w:rsidRDefault="00BF106A" w:rsidP="00BF106A">
      <w:pPr>
        <w:spacing w:after="0" w:line="240" w:lineRule="auto"/>
      </w:pPr>
      <w:r>
        <w:separator/>
      </w:r>
    </w:p>
  </w:footnote>
  <w:footnote w:type="continuationSeparator" w:id="0">
    <w:p w:rsidR="00BF106A" w:rsidRDefault="00BF106A" w:rsidP="00BF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F1" w:rsidRDefault="001D02F1" w:rsidP="00DB4121">
    <w:pPr>
      <w:pStyle w:val="Header"/>
      <w:tabs>
        <w:tab w:val="clear" w:pos="4513"/>
        <w:tab w:val="clear" w:pos="9026"/>
      </w:tabs>
      <w:jc w:val="center"/>
      <w:rPr>
        <w:b/>
        <w:sz w:val="28"/>
        <w:szCs w:val="28"/>
      </w:rPr>
    </w:pPr>
  </w:p>
  <w:p w:rsidR="001D02F1" w:rsidRDefault="001D02F1" w:rsidP="00DB4121">
    <w:pPr>
      <w:pStyle w:val="Header"/>
      <w:tabs>
        <w:tab w:val="clear" w:pos="4513"/>
        <w:tab w:val="clear" w:pos="9026"/>
      </w:tabs>
      <w:jc w:val="center"/>
      <w:rPr>
        <w:b/>
        <w:sz w:val="28"/>
        <w:szCs w:val="28"/>
      </w:rPr>
    </w:pPr>
  </w:p>
  <w:p w:rsidR="00BF106A" w:rsidRPr="00DB4121" w:rsidRDefault="00021837" w:rsidP="00DB4121">
    <w:pPr>
      <w:pStyle w:val="Header"/>
      <w:tabs>
        <w:tab w:val="clear" w:pos="4513"/>
        <w:tab w:val="clear" w:pos="9026"/>
      </w:tabs>
      <w:jc w:val="center"/>
      <w:rPr>
        <w:b/>
        <w:sz w:val="28"/>
        <w:szCs w:val="28"/>
      </w:rPr>
    </w:pPr>
    <w:r w:rsidRPr="001D02F1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4069080</wp:posOffset>
          </wp:positionH>
          <wp:positionV relativeFrom="paragraph">
            <wp:posOffset>-394970</wp:posOffset>
          </wp:positionV>
          <wp:extent cx="1120140" cy="1120140"/>
          <wp:effectExtent l="0" t="0" r="381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in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11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02F1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-438150</wp:posOffset>
          </wp:positionV>
          <wp:extent cx="1181100" cy="11912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NHS CIRCLE LOGO-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91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121" w:rsidRPr="001D02F1">
      <w:rPr>
        <w:b/>
        <w:sz w:val="28"/>
        <w:szCs w:val="28"/>
      </w:rPr>
      <w:t>A</w:t>
    </w:r>
    <w:r w:rsidR="00DB4121" w:rsidRPr="00DB4121">
      <w:rPr>
        <w:b/>
        <w:sz w:val="28"/>
        <w:szCs w:val="28"/>
      </w:rPr>
      <w:t>ppendix to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4AB0"/>
    <w:multiLevelType w:val="hybridMultilevel"/>
    <w:tmpl w:val="8584A4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A4F43"/>
    <w:multiLevelType w:val="hybridMultilevel"/>
    <w:tmpl w:val="1A3E2E9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4A10F6"/>
    <w:multiLevelType w:val="hybridMultilevel"/>
    <w:tmpl w:val="FB6E3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02131"/>
    <w:multiLevelType w:val="hybridMultilevel"/>
    <w:tmpl w:val="25AA3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57C4C"/>
    <w:multiLevelType w:val="hybridMultilevel"/>
    <w:tmpl w:val="B07E50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8303FA"/>
    <w:multiLevelType w:val="hybridMultilevel"/>
    <w:tmpl w:val="62A81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04394"/>
    <w:multiLevelType w:val="hybridMultilevel"/>
    <w:tmpl w:val="F9AA7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210C2"/>
    <w:multiLevelType w:val="hybridMultilevel"/>
    <w:tmpl w:val="18E20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A5DC7"/>
    <w:multiLevelType w:val="multilevel"/>
    <w:tmpl w:val="CA96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4C5657"/>
    <w:multiLevelType w:val="hybridMultilevel"/>
    <w:tmpl w:val="2FA064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BA3294"/>
    <w:multiLevelType w:val="multilevel"/>
    <w:tmpl w:val="13A6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243F84"/>
    <w:multiLevelType w:val="multilevel"/>
    <w:tmpl w:val="DD16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0869D6"/>
    <w:multiLevelType w:val="hybridMultilevel"/>
    <w:tmpl w:val="0A2A3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B53E8"/>
    <w:multiLevelType w:val="hybridMultilevel"/>
    <w:tmpl w:val="70BE9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103CE"/>
    <w:multiLevelType w:val="multilevel"/>
    <w:tmpl w:val="4286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3A715B"/>
    <w:multiLevelType w:val="multilevel"/>
    <w:tmpl w:val="1F3E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4C4D6E"/>
    <w:multiLevelType w:val="hybridMultilevel"/>
    <w:tmpl w:val="89FE3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675AA3"/>
    <w:multiLevelType w:val="hybridMultilevel"/>
    <w:tmpl w:val="C4E418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2234E3"/>
    <w:multiLevelType w:val="hybridMultilevel"/>
    <w:tmpl w:val="5D6A2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844C4"/>
    <w:multiLevelType w:val="multilevel"/>
    <w:tmpl w:val="4AC0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4D62C9"/>
    <w:multiLevelType w:val="hybridMultilevel"/>
    <w:tmpl w:val="2DD6B37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523A0B"/>
    <w:multiLevelType w:val="hybridMultilevel"/>
    <w:tmpl w:val="72186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51BAB"/>
    <w:multiLevelType w:val="multilevel"/>
    <w:tmpl w:val="6EF6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B70666"/>
    <w:multiLevelType w:val="multilevel"/>
    <w:tmpl w:val="60F6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041DC8"/>
    <w:multiLevelType w:val="hybridMultilevel"/>
    <w:tmpl w:val="663EB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C40F6"/>
    <w:multiLevelType w:val="hybridMultilevel"/>
    <w:tmpl w:val="37AE7C5A"/>
    <w:lvl w:ilvl="0" w:tplc="56881B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22A89"/>
    <w:multiLevelType w:val="multilevel"/>
    <w:tmpl w:val="124E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0D64F2"/>
    <w:multiLevelType w:val="hybridMultilevel"/>
    <w:tmpl w:val="EC46CB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C604F1"/>
    <w:multiLevelType w:val="hybridMultilevel"/>
    <w:tmpl w:val="9626B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0"/>
  </w:num>
  <w:num w:numId="4">
    <w:abstractNumId w:val="19"/>
  </w:num>
  <w:num w:numId="5">
    <w:abstractNumId w:val="6"/>
  </w:num>
  <w:num w:numId="6">
    <w:abstractNumId w:val="3"/>
  </w:num>
  <w:num w:numId="7">
    <w:abstractNumId w:val="21"/>
  </w:num>
  <w:num w:numId="8">
    <w:abstractNumId w:val="28"/>
  </w:num>
  <w:num w:numId="9">
    <w:abstractNumId w:val="25"/>
  </w:num>
  <w:num w:numId="10">
    <w:abstractNumId w:val="20"/>
  </w:num>
  <w:num w:numId="11">
    <w:abstractNumId w:val="5"/>
  </w:num>
  <w:num w:numId="12">
    <w:abstractNumId w:val="14"/>
  </w:num>
  <w:num w:numId="13">
    <w:abstractNumId w:val="7"/>
  </w:num>
  <w:num w:numId="14">
    <w:abstractNumId w:val="18"/>
  </w:num>
  <w:num w:numId="15">
    <w:abstractNumId w:val="24"/>
  </w:num>
  <w:num w:numId="16">
    <w:abstractNumId w:val="1"/>
  </w:num>
  <w:num w:numId="17">
    <w:abstractNumId w:val="12"/>
  </w:num>
  <w:num w:numId="18">
    <w:abstractNumId w:val="13"/>
  </w:num>
  <w:num w:numId="19">
    <w:abstractNumId w:val="8"/>
  </w:num>
  <w:num w:numId="20">
    <w:abstractNumId w:val="10"/>
  </w:num>
  <w:num w:numId="21">
    <w:abstractNumId w:val="22"/>
  </w:num>
  <w:num w:numId="22">
    <w:abstractNumId w:val="26"/>
  </w:num>
  <w:num w:numId="23">
    <w:abstractNumId w:val="11"/>
  </w:num>
  <w:num w:numId="24">
    <w:abstractNumId w:val="9"/>
  </w:num>
  <w:num w:numId="25">
    <w:abstractNumId w:val="17"/>
  </w:num>
  <w:num w:numId="26">
    <w:abstractNumId w:val="4"/>
  </w:num>
  <w:num w:numId="27">
    <w:abstractNumId w:val="27"/>
  </w:num>
  <w:num w:numId="28">
    <w:abstractNumId w:val="2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6A"/>
    <w:rsid w:val="00021837"/>
    <w:rsid w:val="001D02F1"/>
    <w:rsid w:val="00230CC2"/>
    <w:rsid w:val="00231CAD"/>
    <w:rsid w:val="002410D5"/>
    <w:rsid w:val="0024423E"/>
    <w:rsid w:val="002478C6"/>
    <w:rsid w:val="00275801"/>
    <w:rsid w:val="002C7BF2"/>
    <w:rsid w:val="002D660F"/>
    <w:rsid w:val="002E39DF"/>
    <w:rsid w:val="003C3D6C"/>
    <w:rsid w:val="00441ACB"/>
    <w:rsid w:val="004628D2"/>
    <w:rsid w:val="00482951"/>
    <w:rsid w:val="004855E2"/>
    <w:rsid w:val="004B3739"/>
    <w:rsid w:val="00541762"/>
    <w:rsid w:val="00557331"/>
    <w:rsid w:val="005866B6"/>
    <w:rsid w:val="00602D69"/>
    <w:rsid w:val="006106EE"/>
    <w:rsid w:val="00635434"/>
    <w:rsid w:val="006B4F15"/>
    <w:rsid w:val="006E62B4"/>
    <w:rsid w:val="006E7192"/>
    <w:rsid w:val="006F480F"/>
    <w:rsid w:val="00793C49"/>
    <w:rsid w:val="007B3C6C"/>
    <w:rsid w:val="007E6034"/>
    <w:rsid w:val="008308CE"/>
    <w:rsid w:val="008978DF"/>
    <w:rsid w:val="008F044C"/>
    <w:rsid w:val="0096119E"/>
    <w:rsid w:val="00992C4D"/>
    <w:rsid w:val="009C3FCB"/>
    <w:rsid w:val="009D4BCE"/>
    <w:rsid w:val="009F591A"/>
    <w:rsid w:val="00AA0144"/>
    <w:rsid w:val="00AB0277"/>
    <w:rsid w:val="00AD1F27"/>
    <w:rsid w:val="00BF106A"/>
    <w:rsid w:val="00C8246F"/>
    <w:rsid w:val="00C93F10"/>
    <w:rsid w:val="00C94946"/>
    <w:rsid w:val="00CB54E9"/>
    <w:rsid w:val="00CD0FC7"/>
    <w:rsid w:val="00D07537"/>
    <w:rsid w:val="00D174E4"/>
    <w:rsid w:val="00D47CDA"/>
    <w:rsid w:val="00DB4121"/>
    <w:rsid w:val="00E00D9E"/>
    <w:rsid w:val="00E13680"/>
    <w:rsid w:val="00E310BE"/>
    <w:rsid w:val="00E64C92"/>
    <w:rsid w:val="00EC55D0"/>
    <w:rsid w:val="00F07D73"/>
    <w:rsid w:val="00F14D2E"/>
    <w:rsid w:val="00F75F2D"/>
    <w:rsid w:val="00FF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E301797-6D38-443B-A128-FDCC858A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410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6A"/>
  </w:style>
  <w:style w:type="paragraph" w:styleId="Footer">
    <w:name w:val="footer"/>
    <w:basedOn w:val="Normal"/>
    <w:link w:val="FooterChar"/>
    <w:uiPriority w:val="99"/>
    <w:unhideWhenUsed/>
    <w:rsid w:val="00BF1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6A"/>
  </w:style>
  <w:style w:type="table" w:styleId="TableGrid">
    <w:name w:val="Table Grid"/>
    <w:basedOn w:val="TableNormal"/>
    <w:uiPriority w:val="39"/>
    <w:rsid w:val="003C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B54E9"/>
    <w:pPr>
      <w:ind w:left="720"/>
      <w:contextualSpacing/>
    </w:pPr>
  </w:style>
  <w:style w:type="character" w:customStyle="1" w:styleId="normaltextrun">
    <w:name w:val="normaltextrun"/>
    <w:basedOn w:val="DefaultParagraphFont"/>
    <w:rsid w:val="00557331"/>
  </w:style>
  <w:style w:type="character" w:customStyle="1" w:styleId="eop">
    <w:name w:val="eop"/>
    <w:basedOn w:val="DefaultParagraphFont"/>
    <w:rsid w:val="00557331"/>
  </w:style>
  <w:style w:type="character" w:styleId="Hyperlink">
    <w:name w:val="Hyperlink"/>
    <w:basedOn w:val="DefaultParagraphFont"/>
    <w:uiPriority w:val="99"/>
    <w:unhideWhenUsed/>
    <w:rsid w:val="0055733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628D2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541762"/>
    <w:pPr>
      <w:spacing w:after="120" w:line="276" w:lineRule="auto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41762"/>
    <w:rPr>
      <w:rFonts w:ascii="Arial" w:hAnsi="Arial"/>
    </w:rPr>
  </w:style>
  <w:style w:type="paragraph" w:customStyle="1" w:styleId="Default">
    <w:name w:val="Default"/>
    <w:rsid w:val="005417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93C4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C7BF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410D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 Lauren (RCD)</dc:creator>
  <cp:keywords/>
  <dc:description/>
  <cp:lastModifiedBy>Purba Satpal</cp:lastModifiedBy>
  <cp:revision>4</cp:revision>
  <dcterms:created xsi:type="dcterms:W3CDTF">2025-01-10T06:37:00Z</dcterms:created>
  <dcterms:modified xsi:type="dcterms:W3CDTF">2025-01-10T08:36:00Z</dcterms:modified>
</cp:coreProperties>
</file>